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51E" w:rsidRDefault="0089751E" w:rsidP="0089751E">
      <w:pPr>
        <w:jc w:val="center"/>
      </w:pPr>
    </w:p>
    <w:p w:rsidR="0089751E" w:rsidRDefault="0089751E" w:rsidP="0089751E">
      <w:pPr>
        <w:jc w:val="center"/>
      </w:pPr>
    </w:p>
    <w:p w:rsidR="0089751E" w:rsidRDefault="0089751E" w:rsidP="0089751E">
      <w:pPr>
        <w:jc w:val="center"/>
      </w:pPr>
    </w:p>
    <w:p w:rsidR="0089751E" w:rsidRDefault="0089751E" w:rsidP="0089751E">
      <w:pPr>
        <w:jc w:val="center"/>
      </w:pPr>
    </w:p>
    <w:p w:rsidR="0089751E" w:rsidRDefault="0089751E" w:rsidP="0089751E">
      <w:pPr>
        <w:jc w:val="center"/>
      </w:pPr>
    </w:p>
    <w:p w:rsidR="0089751E" w:rsidRDefault="0089751E" w:rsidP="0089751E">
      <w:pPr>
        <w:jc w:val="center"/>
      </w:pPr>
    </w:p>
    <w:p w:rsidR="0089751E" w:rsidRDefault="0089751E" w:rsidP="0089751E">
      <w:pPr>
        <w:jc w:val="center"/>
      </w:pPr>
    </w:p>
    <w:p w:rsidR="0089751E" w:rsidRDefault="0089751E" w:rsidP="0089751E">
      <w:pPr>
        <w:jc w:val="center"/>
      </w:pPr>
    </w:p>
    <w:p w:rsidR="0089751E" w:rsidRDefault="0089751E" w:rsidP="0089751E">
      <w:pPr>
        <w:jc w:val="center"/>
      </w:pPr>
    </w:p>
    <w:p w:rsidR="0089751E" w:rsidRPr="0089751E" w:rsidRDefault="0086034D" w:rsidP="0089751E">
      <w:pPr>
        <w:spacing w:line="480" w:lineRule="auto"/>
        <w:jc w:val="center"/>
        <w:rPr>
          <w:rFonts w:ascii="Times New Roman" w:hAnsi="Times New Roman" w:cs="Times New Roman"/>
          <w:sz w:val="24"/>
          <w:szCs w:val="24"/>
        </w:rPr>
      </w:pPr>
      <w:r w:rsidRPr="0089751E">
        <w:rPr>
          <w:rFonts w:ascii="Times New Roman" w:hAnsi="Times New Roman" w:cs="Times New Roman"/>
          <w:sz w:val="24"/>
          <w:szCs w:val="24"/>
        </w:rPr>
        <w:t>Phase II Site Assessment</w:t>
      </w:r>
    </w:p>
    <w:p w:rsidR="0089751E" w:rsidRPr="0089751E" w:rsidRDefault="0086034D" w:rsidP="0089751E">
      <w:pPr>
        <w:spacing w:line="480" w:lineRule="auto"/>
        <w:jc w:val="center"/>
        <w:rPr>
          <w:rFonts w:ascii="Times New Roman" w:hAnsi="Times New Roman" w:cs="Times New Roman"/>
          <w:sz w:val="24"/>
          <w:szCs w:val="24"/>
        </w:rPr>
      </w:pPr>
      <w:r w:rsidRPr="0089751E">
        <w:rPr>
          <w:rFonts w:ascii="Times New Roman" w:hAnsi="Times New Roman" w:cs="Times New Roman"/>
          <w:sz w:val="24"/>
          <w:szCs w:val="24"/>
        </w:rPr>
        <w:t>Institution Affiliation</w:t>
      </w:r>
    </w:p>
    <w:p w:rsidR="0089751E" w:rsidRPr="0089751E" w:rsidRDefault="0086034D" w:rsidP="0089751E">
      <w:pPr>
        <w:spacing w:line="480" w:lineRule="auto"/>
        <w:jc w:val="center"/>
        <w:rPr>
          <w:rFonts w:ascii="Times New Roman" w:hAnsi="Times New Roman" w:cs="Times New Roman"/>
          <w:sz w:val="24"/>
          <w:szCs w:val="24"/>
        </w:rPr>
      </w:pPr>
      <w:r w:rsidRPr="0089751E">
        <w:rPr>
          <w:rFonts w:ascii="Times New Roman" w:hAnsi="Times New Roman" w:cs="Times New Roman"/>
          <w:sz w:val="24"/>
          <w:szCs w:val="24"/>
        </w:rPr>
        <w:t>Students’ Name</w:t>
      </w:r>
    </w:p>
    <w:p w:rsidR="0089751E" w:rsidRPr="0089751E" w:rsidRDefault="0086034D" w:rsidP="0089751E">
      <w:pPr>
        <w:spacing w:line="480" w:lineRule="auto"/>
        <w:jc w:val="center"/>
        <w:rPr>
          <w:rFonts w:ascii="Times New Roman" w:hAnsi="Times New Roman" w:cs="Times New Roman"/>
          <w:sz w:val="24"/>
          <w:szCs w:val="24"/>
        </w:rPr>
      </w:pPr>
      <w:r w:rsidRPr="0089751E">
        <w:rPr>
          <w:rFonts w:ascii="Times New Roman" w:hAnsi="Times New Roman" w:cs="Times New Roman"/>
          <w:sz w:val="24"/>
          <w:szCs w:val="24"/>
        </w:rPr>
        <w:t>Date of Submission</w:t>
      </w:r>
    </w:p>
    <w:p w:rsidR="0089751E" w:rsidRPr="0089751E" w:rsidRDefault="0089751E" w:rsidP="0089751E">
      <w:pPr>
        <w:spacing w:line="480" w:lineRule="auto"/>
        <w:jc w:val="center"/>
        <w:rPr>
          <w:rFonts w:ascii="Times New Roman" w:hAnsi="Times New Roman" w:cs="Times New Roman"/>
          <w:sz w:val="24"/>
          <w:szCs w:val="24"/>
        </w:rPr>
      </w:pPr>
    </w:p>
    <w:p w:rsidR="0089751E" w:rsidRPr="0089751E" w:rsidRDefault="0089751E" w:rsidP="0089751E">
      <w:pPr>
        <w:spacing w:line="480" w:lineRule="auto"/>
        <w:jc w:val="center"/>
        <w:rPr>
          <w:rFonts w:ascii="Times New Roman" w:hAnsi="Times New Roman" w:cs="Times New Roman"/>
          <w:sz w:val="24"/>
          <w:szCs w:val="24"/>
        </w:rPr>
      </w:pPr>
    </w:p>
    <w:p w:rsidR="0089751E" w:rsidRPr="0089751E" w:rsidRDefault="0089751E" w:rsidP="0089751E">
      <w:pPr>
        <w:spacing w:line="480" w:lineRule="auto"/>
        <w:jc w:val="center"/>
        <w:rPr>
          <w:rFonts w:ascii="Times New Roman" w:hAnsi="Times New Roman" w:cs="Times New Roman"/>
          <w:sz w:val="24"/>
          <w:szCs w:val="24"/>
        </w:rPr>
      </w:pPr>
    </w:p>
    <w:p w:rsidR="0089751E" w:rsidRPr="0089751E" w:rsidRDefault="0089751E" w:rsidP="0089751E">
      <w:pPr>
        <w:spacing w:line="480" w:lineRule="auto"/>
        <w:jc w:val="center"/>
        <w:rPr>
          <w:rFonts w:ascii="Times New Roman" w:hAnsi="Times New Roman" w:cs="Times New Roman"/>
          <w:sz w:val="24"/>
          <w:szCs w:val="24"/>
        </w:rPr>
      </w:pPr>
    </w:p>
    <w:p w:rsidR="0089751E" w:rsidRPr="0089751E" w:rsidRDefault="0089751E" w:rsidP="0089751E">
      <w:pPr>
        <w:spacing w:line="480" w:lineRule="auto"/>
        <w:jc w:val="center"/>
        <w:rPr>
          <w:rFonts w:ascii="Times New Roman" w:hAnsi="Times New Roman" w:cs="Times New Roman"/>
          <w:sz w:val="24"/>
          <w:szCs w:val="24"/>
        </w:rPr>
      </w:pPr>
    </w:p>
    <w:p w:rsidR="0089751E" w:rsidRPr="0089751E" w:rsidRDefault="0089751E" w:rsidP="0089751E">
      <w:pPr>
        <w:spacing w:line="480" w:lineRule="auto"/>
        <w:jc w:val="center"/>
        <w:rPr>
          <w:rFonts w:ascii="Times New Roman" w:hAnsi="Times New Roman" w:cs="Times New Roman"/>
          <w:sz w:val="24"/>
          <w:szCs w:val="24"/>
        </w:rPr>
      </w:pPr>
    </w:p>
    <w:p w:rsidR="0089751E" w:rsidRDefault="0089751E" w:rsidP="0089751E">
      <w:pPr>
        <w:spacing w:line="480" w:lineRule="auto"/>
        <w:rPr>
          <w:rFonts w:ascii="Times New Roman" w:hAnsi="Times New Roman" w:cs="Times New Roman"/>
          <w:sz w:val="24"/>
          <w:szCs w:val="24"/>
        </w:rPr>
      </w:pPr>
    </w:p>
    <w:p w:rsidR="0089751E" w:rsidRPr="0089751E" w:rsidRDefault="0089751E" w:rsidP="0089751E">
      <w:pPr>
        <w:spacing w:line="480" w:lineRule="auto"/>
        <w:rPr>
          <w:rFonts w:ascii="Times New Roman" w:hAnsi="Times New Roman" w:cs="Times New Roman"/>
          <w:sz w:val="24"/>
          <w:szCs w:val="24"/>
        </w:rPr>
      </w:pPr>
    </w:p>
    <w:p w:rsidR="0089751E" w:rsidRPr="0089751E" w:rsidRDefault="0089751E" w:rsidP="0089751E">
      <w:pPr>
        <w:spacing w:line="480" w:lineRule="auto"/>
        <w:rPr>
          <w:rFonts w:ascii="Times New Roman" w:hAnsi="Times New Roman" w:cs="Times New Roman"/>
          <w:sz w:val="24"/>
          <w:szCs w:val="24"/>
        </w:rPr>
      </w:pPr>
    </w:p>
    <w:p w:rsidR="005C23C4" w:rsidRPr="0089751E" w:rsidRDefault="0086034D" w:rsidP="0089751E">
      <w:pPr>
        <w:spacing w:line="480" w:lineRule="auto"/>
        <w:jc w:val="center"/>
        <w:rPr>
          <w:rFonts w:ascii="Times New Roman" w:hAnsi="Times New Roman" w:cs="Times New Roman"/>
          <w:sz w:val="24"/>
          <w:szCs w:val="24"/>
        </w:rPr>
      </w:pPr>
      <w:r w:rsidRPr="0089751E">
        <w:rPr>
          <w:rFonts w:ascii="Times New Roman" w:hAnsi="Times New Roman" w:cs="Times New Roman"/>
          <w:sz w:val="24"/>
          <w:szCs w:val="24"/>
        </w:rPr>
        <w:lastRenderedPageBreak/>
        <w:t>Phase II Site Assessment</w:t>
      </w:r>
    </w:p>
    <w:p w:rsidR="0089751E" w:rsidRPr="0089751E" w:rsidRDefault="0086034D" w:rsidP="0089751E">
      <w:pPr>
        <w:spacing w:line="480" w:lineRule="auto"/>
        <w:jc w:val="center"/>
        <w:rPr>
          <w:rFonts w:ascii="Times New Roman" w:hAnsi="Times New Roman" w:cs="Times New Roman"/>
          <w:sz w:val="24"/>
          <w:szCs w:val="24"/>
        </w:rPr>
      </w:pPr>
      <w:r w:rsidRPr="0089751E">
        <w:rPr>
          <w:rFonts w:ascii="Times New Roman" w:hAnsi="Times New Roman" w:cs="Times New Roman"/>
          <w:sz w:val="24"/>
          <w:szCs w:val="24"/>
        </w:rPr>
        <w:t>Sampling and Analysis Plan</w:t>
      </w:r>
    </w:p>
    <w:p w:rsidR="0089751E" w:rsidRPr="0089751E" w:rsidRDefault="0086034D" w:rsidP="0089751E">
      <w:pPr>
        <w:spacing w:line="480" w:lineRule="auto"/>
        <w:ind w:firstLine="720"/>
        <w:rPr>
          <w:rFonts w:ascii="Times New Roman" w:hAnsi="Times New Roman" w:cs="Times New Roman"/>
          <w:sz w:val="24"/>
          <w:szCs w:val="24"/>
        </w:rPr>
      </w:pPr>
      <w:r w:rsidRPr="0089751E">
        <w:rPr>
          <w:rFonts w:ascii="Times New Roman" w:hAnsi="Times New Roman" w:cs="Times New Roman"/>
          <w:sz w:val="24"/>
          <w:szCs w:val="24"/>
        </w:rPr>
        <w:t>The</w:t>
      </w:r>
      <w:r w:rsidRPr="0089751E">
        <w:rPr>
          <w:rFonts w:ascii="Times New Roman" w:hAnsi="Times New Roman" w:cs="Times New Roman"/>
          <w:sz w:val="24"/>
          <w:szCs w:val="24"/>
        </w:rPr>
        <w:t xml:space="preserve"> number and nature of samples considered for in an environmental site assessment largely depend on the study kind of business site and the type of contaminants under review (Lee 2005). This assessment covers an abandoned gas station. This analysis compound</w:t>
      </w:r>
      <w:r w:rsidRPr="0089751E">
        <w:rPr>
          <w:rFonts w:ascii="Times New Roman" w:hAnsi="Times New Roman" w:cs="Times New Roman"/>
          <w:sz w:val="24"/>
          <w:szCs w:val="24"/>
        </w:rPr>
        <w:t>s utilized revolve around gasoline-related compounds such as Diesel range organics (DRO), Total petroleum hydrocarbons (TPH), and Volatile organic compounds (VCOs).</w:t>
      </w:r>
    </w:p>
    <w:p w:rsidR="0089751E" w:rsidRPr="0089751E" w:rsidRDefault="0086034D" w:rsidP="0089751E">
      <w:pPr>
        <w:spacing w:line="480" w:lineRule="auto"/>
        <w:ind w:firstLine="720"/>
        <w:rPr>
          <w:rFonts w:ascii="Times New Roman" w:hAnsi="Times New Roman" w:cs="Times New Roman"/>
          <w:sz w:val="24"/>
          <w:szCs w:val="24"/>
        </w:rPr>
      </w:pPr>
      <w:r w:rsidRPr="0089751E">
        <w:rPr>
          <w:rFonts w:ascii="Times New Roman" w:hAnsi="Times New Roman" w:cs="Times New Roman"/>
          <w:sz w:val="24"/>
          <w:szCs w:val="24"/>
        </w:rPr>
        <w:t xml:space="preserve">The bottom of the UST is at six feet below the surface. Four soil samples should be </w:t>
      </w:r>
      <w:r w:rsidRPr="0089751E">
        <w:rPr>
          <w:rFonts w:ascii="Times New Roman" w:hAnsi="Times New Roman" w:cs="Times New Roman"/>
          <w:sz w:val="24"/>
          <w:szCs w:val="24"/>
        </w:rPr>
        <w:t>collected around the UST with a sample from each direction; north, south, east, and west. This will help establish the lateral extent of infiltration. All the four samples should be collected at 6-8 feet below the Grade. The objective is to create the hori</w:t>
      </w:r>
      <w:r w:rsidRPr="0089751E">
        <w:rPr>
          <w:rFonts w:ascii="Times New Roman" w:hAnsi="Times New Roman" w:cs="Times New Roman"/>
          <w:sz w:val="24"/>
          <w:szCs w:val="24"/>
        </w:rPr>
        <w:t>zontal spread of Diesel range organics and Total Petroleum Hydrocarbons.  TPH-DRO analyses are proposed to be used to identify soil contamination around the UST.</w:t>
      </w:r>
    </w:p>
    <w:p w:rsidR="0089751E" w:rsidRPr="0089751E" w:rsidRDefault="0086034D" w:rsidP="0089751E">
      <w:pPr>
        <w:spacing w:line="480" w:lineRule="auto"/>
        <w:ind w:firstLine="720"/>
        <w:rPr>
          <w:rFonts w:ascii="Times New Roman" w:hAnsi="Times New Roman" w:cs="Times New Roman"/>
          <w:sz w:val="24"/>
          <w:szCs w:val="24"/>
        </w:rPr>
      </w:pPr>
      <w:r w:rsidRPr="0089751E">
        <w:rPr>
          <w:rFonts w:ascii="Times New Roman" w:hAnsi="Times New Roman" w:cs="Times New Roman"/>
          <w:sz w:val="24"/>
          <w:szCs w:val="24"/>
        </w:rPr>
        <w:t xml:space="preserve">Fifth multilevel monitoring well should be placed 8-14 feet below the grade to help establish </w:t>
      </w:r>
      <w:r w:rsidRPr="0089751E">
        <w:rPr>
          <w:rFonts w:ascii="Times New Roman" w:hAnsi="Times New Roman" w:cs="Times New Roman"/>
          <w:sz w:val="24"/>
          <w:szCs w:val="24"/>
        </w:rPr>
        <w:t>the extent of vertical infiltration by TPH-DRO. Many monitoring wells are not needed since the multilevel feature serves the purpose. Diesel range organics quickly infiltrates through the ground, and that high depth is required.</w:t>
      </w:r>
    </w:p>
    <w:p w:rsidR="0089751E" w:rsidRPr="0089751E" w:rsidRDefault="0086034D" w:rsidP="0089751E">
      <w:pPr>
        <w:spacing w:line="480" w:lineRule="auto"/>
        <w:ind w:firstLine="720"/>
        <w:rPr>
          <w:rFonts w:ascii="Times New Roman" w:hAnsi="Times New Roman" w:cs="Times New Roman"/>
          <w:sz w:val="24"/>
          <w:szCs w:val="24"/>
        </w:rPr>
      </w:pPr>
      <w:r w:rsidRPr="0089751E">
        <w:rPr>
          <w:rFonts w:ascii="Times New Roman" w:hAnsi="Times New Roman" w:cs="Times New Roman"/>
          <w:sz w:val="24"/>
          <w:szCs w:val="24"/>
        </w:rPr>
        <w:t>A soil sample from the fact</w:t>
      </w:r>
      <w:r w:rsidRPr="0089751E">
        <w:rPr>
          <w:rFonts w:ascii="Times New Roman" w:hAnsi="Times New Roman" w:cs="Times New Roman"/>
          <w:sz w:val="24"/>
          <w:szCs w:val="24"/>
        </w:rPr>
        <w:t>ory machine is proposed.  The underground water flow has been established to be across Knights road. The monitoring well wells at the machine shop site indicate that the relative groundwater level is 6.5 feet. The flow of the underground water could, there</w:t>
      </w:r>
      <w:r w:rsidRPr="0089751E">
        <w:rPr>
          <w:rFonts w:ascii="Times New Roman" w:hAnsi="Times New Roman" w:cs="Times New Roman"/>
          <w:sz w:val="24"/>
          <w:szCs w:val="24"/>
        </w:rPr>
        <w:t>fore, might have contaminated the soil adjacent to the ground level water. Gasoline contains LNAPL (light-non aqueous phase liquid, which penetrates the ground and stops at the water table height.</w:t>
      </w:r>
    </w:p>
    <w:p w:rsidR="0089751E" w:rsidRPr="0089751E" w:rsidRDefault="0086034D" w:rsidP="0089751E">
      <w:pPr>
        <w:spacing w:line="480" w:lineRule="auto"/>
        <w:ind w:firstLine="720"/>
        <w:rPr>
          <w:rFonts w:ascii="Times New Roman" w:hAnsi="Times New Roman" w:cs="Times New Roman"/>
          <w:sz w:val="24"/>
          <w:szCs w:val="24"/>
        </w:rPr>
      </w:pPr>
      <w:r w:rsidRPr="0089751E">
        <w:rPr>
          <w:rFonts w:ascii="Times New Roman" w:hAnsi="Times New Roman" w:cs="Times New Roman"/>
          <w:sz w:val="24"/>
          <w:szCs w:val="24"/>
        </w:rPr>
        <w:t>A sample of groundwater around Knights road should be obtai</w:t>
      </w:r>
      <w:r w:rsidRPr="0089751E">
        <w:rPr>
          <w:rFonts w:ascii="Times New Roman" w:hAnsi="Times New Roman" w:cs="Times New Roman"/>
          <w:sz w:val="24"/>
          <w:szCs w:val="24"/>
        </w:rPr>
        <w:t>ned. The underground water has been found to flow across it. The water could be contaminated as a result of this flow. This sample will be essential in evaluating the need for triangular monitoring wells at different locations of the road. The triangular w</w:t>
      </w:r>
      <w:r w:rsidRPr="0089751E">
        <w:rPr>
          <w:rFonts w:ascii="Times New Roman" w:hAnsi="Times New Roman" w:cs="Times New Roman"/>
          <w:sz w:val="24"/>
          <w:szCs w:val="24"/>
        </w:rPr>
        <w:t>ells could be needed if to establish the direction of the groundwater flow crossing the road. If the samples test positive for DRO, then the appropriate number and depth of wells will be determined.</w:t>
      </w:r>
    </w:p>
    <w:p w:rsidR="0089751E" w:rsidRPr="0089751E" w:rsidRDefault="0086034D" w:rsidP="0089751E">
      <w:pPr>
        <w:spacing w:line="480" w:lineRule="auto"/>
        <w:ind w:firstLine="720"/>
        <w:rPr>
          <w:rFonts w:ascii="Times New Roman" w:hAnsi="Times New Roman" w:cs="Times New Roman"/>
          <w:sz w:val="24"/>
          <w:szCs w:val="24"/>
        </w:rPr>
      </w:pPr>
      <w:r w:rsidRPr="0089751E">
        <w:rPr>
          <w:rFonts w:ascii="Times New Roman" w:hAnsi="Times New Roman" w:cs="Times New Roman"/>
          <w:sz w:val="24"/>
          <w:szCs w:val="24"/>
        </w:rPr>
        <w:t>The former industrial site is adjacent to Knights road. W</w:t>
      </w:r>
      <w:r w:rsidRPr="0089751E">
        <w:rPr>
          <w:rFonts w:ascii="Times New Roman" w:hAnsi="Times New Roman" w:cs="Times New Roman"/>
          <w:sz w:val="24"/>
          <w:szCs w:val="24"/>
        </w:rPr>
        <w:t xml:space="preserve">ith the information that the underground water level is 6.5 feet, a groundwater sample analysis at the site is in order. The results will justify or nullify the need for drill wells to determine the extent of the clean line in the groundwater. A sample of </w:t>
      </w:r>
      <w:r w:rsidRPr="0089751E">
        <w:rPr>
          <w:rFonts w:ascii="Times New Roman" w:hAnsi="Times New Roman" w:cs="Times New Roman"/>
          <w:sz w:val="24"/>
          <w:szCs w:val="24"/>
        </w:rPr>
        <w:t>water from the monitoring well is taken for analysis since it is closest to the contamination site.</w:t>
      </w:r>
    </w:p>
    <w:p w:rsidR="0089751E" w:rsidRPr="0089751E" w:rsidRDefault="0086034D" w:rsidP="0089751E">
      <w:pPr>
        <w:spacing w:line="480" w:lineRule="auto"/>
        <w:ind w:firstLine="720"/>
        <w:rPr>
          <w:rFonts w:ascii="Times New Roman" w:hAnsi="Times New Roman" w:cs="Times New Roman"/>
          <w:sz w:val="24"/>
          <w:szCs w:val="24"/>
        </w:rPr>
      </w:pPr>
      <w:r w:rsidRPr="0089751E">
        <w:rPr>
          <w:rFonts w:ascii="Times New Roman" w:hAnsi="Times New Roman" w:cs="Times New Roman"/>
          <w:sz w:val="24"/>
          <w:szCs w:val="24"/>
        </w:rPr>
        <w:t xml:space="preserve">Gasoline contains volatile organic compounds (VOCs). These compounds are found in liquid or vapor form (Salem et al., 2005).  Though these compounds do not </w:t>
      </w:r>
      <w:r w:rsidRPr="0089751E">
        <w:rPr>
          <w:rFonts w:ascii="Times New Roman" w:hAnsi="Times New Roman" w:cs="Times New Roman"/>
          <w:sz w:val="24"/>
          <w:szCs w:val="24"/>
        </w:rPr>
        <w:t>contain instantly harmful products, continued to inhale could result in long term health effects. The suspicious odor emanating from the pipes need to be analyzed for traces of VOCs. Air sample from outside the old building is also proposed to ensure beyon</w:t>
      </w:r>
      <w:r w:rsidRPr="0089751E">
        <w:rPr>
          <w:rFonts w:ascii="Times New Roman" w:hAnsi="Times New Roman" w:cs="Times New Roman"/>
          <w:sz w:val="24"/>
          <w:szCs w:val="24"/>
        </w:rPr>
        <w:t>d a reasonable doubt that air in the area is not contaminated.</w:t>
      </w:r>
    </w:p>
    <w:p w:rsidR="0089751E" w:rsidRPr="0089751E" w:rsidRDefault="0089751E" w:rsidP="0089751E">
      <w:pPr>
        <w:spacing w:line="480" w:lineRule="auto"/>
        <w:rPr>
          <w:rFonts w:ascii="Times New Roman" w:hAnsi="Times New Roman" w:cs="Times New Roman"/>
          <w:sz w:val="24"/>
          <w:szCs w:val="24"/>
        </w:rPr>
      </w:pPr>
    </w:p>
    <w:p w:rsidR="0089751E" w:rsidRDefault="0089751E" w:rsidP="0089751E">
      <w:pPr>
        <w:spacing w:line="480" w:lineRule="auto"/>
        <w:jc w:val="center"/>
        <w:rPr>
          <w:rFonts w:ascii="Times New Roman" w:hAnsi="Times New Roman" w:cs="Times New Roman"/>
          <w:sz w:val="24"/>
          <w:szCs w:val="24"/>
        </w:rPr>
      </w:pPr>
    </w:p>
    <w:p w:rsidR="0089751E" w:rsidRDefault="0089751E" w:rsidP="0089751E">
      <w:pPr>
        <w:spacing w:line="480" w:lineRule="auto"/>
        <w:jc w:val="center"/>
        <w:rPr>
          <w:rFonts w:ascii="Times New Roman" w:hAnsi="Times New Roman" w:cs="Times New Roman"/>
          <w:sz w:val="24"/>
          <w:szCs w:val="24"/>
        </w:rPr>
      </w:pPr>
    </w:p>
    <w:p w:rsidR="0089751E" w:rsidRPr="0089751E" w:rsidRDefault="0086034D" w:rsidP="0089751E">
      <w:pPr>
        <w:spacing w:line="480" w:lineRule="auto"/>
        <w:jc w:val="center"/>
        <w:rPr>
          <w:rFonts w:ascii="Times New Roman" w:hAnsi="Times New Roman" w:cs="Times New Roman"/>
          <w:sz w:val="24"/>
          <w:szCs w:val="24"/>
        </w:rPr>
      </w:pPr>
      <w:r w:rsidRPr="0089751E">
        <w:rPr>
          <w:rFonts w:ascii="Times New Roman" w:hAnsi="Times New Roman" w:cs="Times New Roman"/>
          <w:sz w:val="24"/>
          <w:szCs w:val="24"/>
        </w:rPr>
        <w:t>References</w:t>
      </w:r>
    </w:p>
    <w:p w:rsidR="0089751E" w:rsidRPr="0089751E" w:rsidRDefault="0086034D" w:rsidP="0089751E">
      <w:pPr>
        <w:spacing w:line="480" w:lineRule="auto"/>
        <w:ind w:left="720" w:hanging="720"/>
        <w:rPr>
          <w:rFonts w:ascii="Times New Roman" w:hAnsi="Times New Roman" w:cs="Times New Roman"/>
          <w:sz w:val="24"/>
          <w:szCs w:val="24"/>
        </w:rPr>
      </w:pPr>
      <w:r w:rsidRPr="0089751E">
        <w:rPr>
          <w:rFonts w:ascii="Times New Roman" w:hAnsi="Times New Roman" w:cs="Times New Roman"/>
          <w:sz w:val="24"/>
          <w:szCs w:val="24"/>
        </w:rPr>
        <w:t xml:space="preserve">Lee, C.C. (2005). Environmental Engineering Dictionary. Retrieved June 22, 2016, from </w:t>
      </w:r>
      <w:hyperlink r:id="rId6" w:history="1">
        <w:r w:rsidRPr="0089751E">
          <w:rPr>
            <w:rStyle w:val="Hyperlink"/>
            <w:rFonts w:ascii="Times New Roman" w:hAnsi="Times New Roman" w:cs="Times New Roman"/>
            <w:sz w:val="24"/>
            <w:szCs w:val="24"/>
          </w:rPr>
          <w:t>https://books.google.com/books</w:t>
        </w:r>
        <w:r w:rsidRPr="0089751E">
          <w:rPr>
            <w:rStyle w:val="Hyperlink"/>
            <w:rFonts w:ascii="Times New Roman" w:hAnsi="Times New Roman" w:cs="Times New Roman"/>
            <w:sz w:val="24"/>
            <w:szCs w:val="24"/>
          </w:rPr>
          <w:t>?id=s3Bb7Ru4a58C</w:t>
        </w:r>
      </w:hyperlink>
    </w:p>
    <w:p w:rsidR="0089751E" w:rsidRPr="0089751E" w:rsidRDefault="0086034D" w:rsidP="0089751E">
      <w:pPr>
        <w:spacing w:line="480" w:lineRule="auto"/>
        <w:ind w:left="720" w:hanging="720"/>
        <w:rPr>
          <w:rFonts w:ascii="Times New Roman" w:hAnsi="Times New Roman" w:cs="Times New Roman"/>
          <w:sz w:val="24"/>
          <w:szCs w:val="24"/>
        </w:rPr>
      </w:pPr>
      <w:r w:rsidRPr="0089751E">
        <w:rPr>
          <w:rFonts w:ascii="Times New Roman" w:hAnsi="Times New Roman" w:cs="Times New Roman"/>
          <w:sz w:val="24"/>
          <w:szCs w:val="24"/>
        </w:rPr>
        <w:t xml:space="preserve">Salem, H., and Katz, S.A. (2005). Inhalation toxicology. CRC Press. Florida. Retrieved June 22, 2016, from </w:t>
      </w:r>
      <w:hyperlink r:id="rId7" w:history="1">
        <w:r w:rsidRPr="0089751E">
          <w:rPr>
            <w:rStyle w:val="Hyperlink"/>
            <w:rFonts w:ascii="Times New Roman" w:hAnsi="Times New Roman" w:cs="Times New Roman"/>
            <w:sz w:val="24"/>
            <w:szCs w:val="24"/>
          </w:rPr>
          <w:t>https://books.google.com/books?isbn=1420037307</w:t>
        </w:r>
      </w:hyperlink>
      <w:r w:rsidRPr="0089751E">
        <w:rPr>
          <w:rFonts w:ascii="Times New Roman" w:hAnsi="Times New Roman" w:cs="Times New Roman"/>
          <w:sz w:val="24"/>
          <w:szCs w:val="24"/>
        </w:rPr>
        <w:t xml:space="preserve"> </w:t>
      </w:r>
    </w:p>
    <w:p w:rsidR="0089751E" w:rsidRPr="0089751E" w:rsidRDefault="0089751E" w:rsidP="0089751E">
      <w:pPr>
        <w:spacing w:line="480" w:lineRule="auto"/>
        <w:rPr>
          <w:rFonts w:ascii="Times New Roman" w:hAnsi="Times New Roman" w:cs="Times New Roman"/>
          <w:sz w:val="24"/>
          <w:szCs w:val="24"/>
        </w:rPr>
      </w:pPr>
      <w:bookmarkStart w:id="0" w:name="_GoBack"/>
      <w:bookmarkEnd w:id="0"/>
    </w:p>
    <w:p w:rsidR="0089751E" w:rsidRPr="0089751E" w:rsidRDefault="0089751E" w:rsidP="0089751E">
      <w:pPr>
        <w:spacing w:line="480" w:lineRule="auto"/>
        <w:rPr>
          <w:rFonts w:ascii="Times New Roman" w:hAnsi="Times New Roman" w:cs="Times New Roman"/>
          <w:sz w:val="24"/>
          <w:szCs w:val="24"/>
        </w:rPr>
      </w:pPr>
    </w:p>
    <w:sectPr w:rsidR="0089751E" w:rsidRPr="0089751E" w:rsidSect="0089751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034D" w:rsidRDefault="0086034D">
      <w:pPr>
        <w:spacing w:after="0" w:line="240" w:lineRule="auto"/>
      </w:pPr>
      <w:r>
        <w:separator/>
      </w:r>
    </w:p>
  </w:endnote>
  <w:endnote w:type="continuationSeparator" w:id="0">
    <w:p w:rsidR="0086034D" w:rsidRDefault="00860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034D" w:rsidRDefault="0086034D">
      <w:pPr>
        <w:spacing w:after="0" w:line="240" w:lineRule="auto"/>
      </w:pPr>
      <w:r>
        <w:separator/>
      </w:r>
    </w:p>
  </w:footnote>
  <w:footnote w:type="continuationSeparator" w:id="0">
    <w:p w:rsidR="0086034D" w:rsidRDefault="008603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51E" w:rsidRPr="0089751E" w:rsidRDefault="0086034D">
    <w:pPr>
      <w:pStyle w:val="Header"/>
      <w:rPr>
        <w:rFonts w:ascii="Times New Roman" w:hAnsi="Times New Roman" w:cs="Times New Roman"/>
        <w:sz w:val="24"/>
        <w:szCs w:val="24"/>
      </w:rPr>
    </w:pPr>
    <w:r w:rsidRPr="0089751E">
      <w:rPr>
        <w:rFonts w:ascii="Times New Roman" w:hAnsi="Times New Roman" w:cs="Times New Roman"/>
        <w:sz w:val="24"/>
        <w:szCs w:val="24"/>
      </w:rPr>
      <w:t>Phase II Site Assessment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51E" w:rsidRPr="0089751E" w:rsidRDefault="0086034D">
    <w:pPr>
      <w:pStyle w:val="Header"/>
      <w:rPr>
        <w:rFonts w:ascii="Times New Roman" w:hAnsi="Times New Roman" w:cs="Times New Roman"/>
        <w:sz w:val="24"/>
        <w:szCs w:val="24"/>
      </w:rPr>
    </w:pPr>
    <w:r w:rsidRPr="0089751E">
      <w:rPr>
        <w:rFonts w:ascii="Times New Roman" w:hAnsi="Times New Roman" w:cs="Times New Roman"/>
        <w:sz w:val="24"/>
        <w:szCs w:val="24"/>
      </w:rPr>
      <w:t xml:space="preserve">Running Head: Phase II Site Assessment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51E"/>
    <w:rsid w:val="00314955"/>
    <w:rsid w:val="005C23C4"/>
    <w:rsid w:val="0086034D"/>
    <w:rsid w:val="0089751E"/>
    <w:rsid w:val="00946B62"/>
    <w:rsid w:val="00B03437"/>
    <w:rsid w:val="00F4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802C14-3CC6-45CE-99C8-37C55A6C8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751E"/>
    <w:rPr>
      <w:color w:val="0563C1" w:themeColor="hyperlink"/>
      <w:u w:val="single"/>
    </w:rPr>
  </w:style>
  <w:style w:type="paragraph" w:styleId="Header">
    <w:name w:val="header"/>
    <w:basedOn w:val="Normal"/>
    <w:link w:val="HeaderChar"/>
    <w:uiPriority w:val="99"/>
    <w:unhideWhenUsed/>
    <w:rsid w:val="008975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51E"/>
  </w:style>
  <w:style w:type="paragraph" w:styleId="Footer">
    <w:name w:val="footer"/>
    <w:basedOn w:val="Normal"/>
    <w:link w:val="FooterChar"/>
    <w:uiPriority w:val="99"/>
    <w:unhideWhenUsed/>
    <w:rsid w:val="008975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books.google.com/books?isbn=142003730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ooks.google.com/books?id=s3Bb7Ru4a58C"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3160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2019-12-06T03:01:00Z</dcterms:created>
  <dcterms:modified xsi:type="dcterms:W3CDTF">2019-12-06T03:01:00Z</dcterms:modified>
</cp:coreProperties>
</file>